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b w:val="1"/>
          <w:color w:val="1d1d1d"/>
          <w:sz w:val="24"/>
          <w:szCs w:val="24"/>
          <w:highlight w:val="white"/>
        </w:rPr>
      </w:pPr>
      <w:bookmarkStart w:colFirst="0" w:colLast="0" w:name="_gjdgxs" w:id="0"/>
      <w:bookmarkEnd w:id="0"/>
      <w:r w:rsidDel="00000000" w:rsidR="00000000" w:rsidRPr="00000000">
        <w:rPr>
          <w:rFonts w:ascii="Times New Roman" w:cs="Times New Roman" w:eastAsia="Times New Roman" w:hAnsi="Times New Roman"/>
          <w:b w:val="1"/>
          <w:color w:val="1d1d1d"/>
          <w:sz w:val="24"/>
          <w:szCs w:val="24"/>
          <w:highlight w:val="white"/>
          <w:rtl w:val="0"/>
        </w:rPr>
        <w:t xml:space="preserve">Do you agree or disagree with the U.S. Supreme Court's decision in the Berghuis v. Thompkins case (textbook, 173 - 175)? Is the majority or the dissenting opinion more convincing?</w:t>
      </w:r>
    </w:p>
    <w:p w:rsidR="00000000" w:rsidDel="00000000" w:rsidP="00000000" w:rsidRDefault="00000000" w:rsidRPr="00000000" w14:paraId="00000002">
      <w:pPr>
        <w:spacing w:line="480" w:lineRule="auto"/>
        <w:rPr>
          <w:rFonts w:ascii="Times New Roman" w:cs="Times New Roman" w:eastAsia="Times New Roman" w:hAnsi="Times New Roman"/>
          <w:color w:val="1d1d1d"/>
          <w:sz w:val="24"/>
          <w:szCs w:val="24"/>
          <w:highlight w:val="white"/>
        </w:rPr>
      </w:pPr>
      <w:r w:rsidDel="00000000" w:rsidR="00000000" w:rsidRPr="00000000">
        <w:rPr>
          <w:rFonts w:ascii="Times New Roman" w:cs="Times New Roman" w:eastAsia="Times New Roman" w:hAnsi="Times New Roman"/>
          <w:color w:val="1d1d1d"/>
          <w:sz w:val="24"/>
          <w:szCs w:val="24"/>
          <w:highlight w:val="white"/>
          <w:rtl w:val="0"/>
        </w:rPr>
        <w:tab/>
        <w:t xml:space="preserve">Yes, I agree with the U.S. Supreme Court’s decision in the Berghuis v. Thompkins case. The court’s decision to discard Mr. Thompkins’ </w:t>
      </w:r>
      <w:r w:rsidDel="00000000" w:rsidR="00000000" w:rsidRPr="00000000">
        <w:rPr>
          <w:rFonts w:ascii="Times New Roman" w:cs="Times New Roman" w:eastAsia="Times New Roman" w:hAnsi="Times New Roman"/>
          <w:i w:val="1"/>
          <w:color w:val="1d1d1d"/>
          <w:sz w:val="24"/>
          <w:szCs w:val="24"/>
          <w:highlight w:val="white"/>
          <w:rtl w:val="0"/>
        </w:rPr>
        <w:t xml:space="preserve">Miranda</w:t>
      </w:r>
      <w:r w:rsidDel="00000000" w:rsidR="00000000" w:rsidRPr="00000000">
        <w:rPr>
          <w:rFonts w:ascii="Times New Roman" w:cs="Times New Roman" w:eastAsia="Times New Roman" w:hAnsi="Times New Roman"/>
          <w:color w:val="1d1d1d"/>
          <w:sz w:val="24"/>
          <w:szCs w:val="24"/>
          <w:highlight w:val="white"/>
          <w:rtl w:val="0"/>
        </w:rPr>
        <w:t xml:space="preserve"> right was precise. To start with, remaining silent for most of the time during interrogation does not mean Thompkins’ rights were summoned. His conduct was ambiguous and the police had the permission to interrogate him more. If a person give an “ambiguous” answer, then the officers are required to continue with interrogation. Additionally, Thompkins decision to remain silent established an obscure waiver of the right to stay silent during questioning. In this case, Thompkins knew his rights and decided to answer the police when he would have decided not to answer. The lack of any controversy in this case designates that Thompkins understood what he said when he spoke. Therefore, there is no evidence that Thompkins was in fear of the police during the case proceeding. Thompkins answered “yes” when asked whether he wanted God to forgive for shooting after almost three hours of a </w:t>
      </w:r>
      <w:r w:rsidDel="00000000" w:rsidR="00000000" w:rsidRPr="00000000">
        <w:rPr>
          <w:rFonts w:ascii="Times New Roman" w:cs="Times New Roman" w:eastAsia="Times New Roman" w:hAnsi="Times New Roman"/>
          <w:i w:val="1"/>
          <w:color w:val="1d1d1d"/>
          <w:sz w:val="24"/>
          <w:szCs w:val="24"/>
          <w:highlight w:val="white"/>
          <w:rtl w:val="0"/>
        </w:rPr>
        <w:t xml:space="preserve">Miranda</w:t>
      </w:r>
      <w:r w:rsidDel="00000000" w:rsidR="00000000" w:rsidRPr="00000000">
        <w:rPr>
          <w:rFonts w:ascii="Times New Roman" w:cs="Times New Roman" w:eastAsia="Times New Roman" w:hAnsi="Times New Roman"/>
          <w:color w:val="1d1d1d"/>
          <w:sz w:val="24"/>
          <w:szCs w:val="24"/>
          <w:highlight w:val="white"/>
          <w:rtl w:val="0"/>
        </w:rPr>
        <w:t xml:space="preserve"> warning. Moreover, the officers did not have a direct waiver before interrogating Thompkins. The </w:t>
      </w:r>
      <w:r w:rsidDel="00000000" w:rsidR="00000000" w:rsidRPr="00000000">
        <w:rPr>
          <w:rFonts w:ascii="Times New Roman" w:cs="Times New Roman" w:eastAsia="Times New Roman" w:hAnsi="Times New Roman"/>
          <w:i w:val="1"/>
          <w:color w:val="1d1d1d"/>
          <w:sz w:val="24"/>
          <w:szCs w:val="24"/>
          <w:highlight w:val="white"/>
          <w:rtl w:val="0"/>
        </w:rPr>
        <w:t xml:space="preserve">Butler’s </w:t>
      </w:r>
      <w:r w:rsidDel="00000000" w:rsidR="00000000" w:rsidRPr="00000000">
        <w:rPr>
          <w:rFonts w:ascii="Times New Roman" w:cs="Times New Roman" w:eastAsia="Times New Roman" w:hAnsi="Times New Roman"/>
          <w:color w:val="1d1d1d"/>
          <w:sz w:val="24"/>
          <w:szCs w:val="24"/>
          <w:highlight w:val="white"/>
          <w:rtl w:val="0"/>
        </w:rPr>
        <w:t xml:space="preserve">state that a court can assume a waiver from the behavior and words of the person questioned. </w:t>
      </w:r>
    </w:p>
    <w:p w:rsidR="00000000" w:rsidDel="00000000" w:rsidP="00000000" w:rsidRDefault="00000000" w:rsidRPr="00000000" w14:paraId="00000003">
      <w:pPr>
        <w:spacing w:line="480" w:lineRule="auto"/>
        <w:rPr>
          <w:rFonts w:ascii="Times New Roman" w:cs="Times New Roman" w:eastAsia="Times New Roman" w:hAnsi="Times New Roman"/>
          <w:color w:val="1d1d1d"/>
          <w:sz w:val="24"/>
          <w:szCs w:val="24"/>
          <w:highlight w:val="white"/>
        </w:rPr>
      </w:pPr>
      <w:r w:rsidDel="00000000" w:rsidR="00000000" w:rsidRPr="00000000">
        <w:rPr>
          <w:rFonts w:ascii="Times New Roman" w:cs="Times New Roman" w:eastAsia="Times New Roman" w:hAnsi="Times New Roman"/>
          <w:color w:val="1d1d1d"/>
          <w:sz w:val="24"/>
          <w:szCs w:val="24"/>
          <w:highlight w:val="white"/>
          <w:rtl w:val="0"/>
        </w:rPr>
        <w:tab/>
        <w:t xml:space="preserve">The dissenting opinion is clearly convincing. The court held that even though Thompkins’ warning was ineffective, he can’t show he was opinionated by the counsel’s incomplete performance. He chose to speak when he was supposed to remain silent. The court’s ruling scripts a solemn withdrawal from the protections of the </w:t>
      </w:r>
      <w:r w:rsidDel="00000000" w:rsidR="00000000" w:rsidRPr="00000000">
        <w:rPr>
          <w:rFonts w:ascii="Times New Roman" w:cs="Times New Roman" w:eastAsia="Times New Roman" w:hAnsi="Times New Roman"/>
          <w:i w:val="1"/>
          <w:color w:val="1d1d1d"/>
          <w:sz w:val="24"/>
          <w:szCs w:val="24"/>
          <w:highlight w:val="white"/>
          <w:rtl w:val="0"/>
        </w:rPr>
        <w:t xml:space="preserve">Miranda</w:t>
      </w:r>
      <w:r w:rsidDel="00000000" w:rsidR="00000000" w:rsidRPr="00000000">
        <w:rPr>
          <w:rFonts w:ascii="Times New Roman" w:cs="Times New Roman" w:eastAsia="Times New Roman" w:hAnsi="Times New Roman"/>
          <w:color w:val="1d1d1d"/>
          <w:sz w:val="24"/>
          <w:szCs w:val="24"/>
          <w:highlight w:val="white"/>
          <w:rtl w:val="0"/>
        </w:rPr>
        <w:t xml:space="preserve"> right.</w:t>
      </w:r>
    </w:p>
    <w:p w:rsidR="00000000" w:rsidDel="00000000" w:rsidP="00000000" w:rsidRDefault="00000000" w:rsidRPr="00000000" w14:paraId="00000004">
      <w:pPr>
        <w:spacing w:line="480" w:lineRule="auto"/>
        <w:rPr>
          <w:rFonts w:ascii="Times New Roman" w:cs="Times New Roman" w:eastAsia="Times New Roman" w:hAnsi="Times New Roman"/>
          <w:color w:val="1d1d1d"/>
          <w:sz w:val="24"/>
          <w:szCs w:val="24"/>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color w:val="1d1d1d"/>
          <w:sz w:val="24"/>
          <w:szCs w:val="24"/>
          <w:highlight w:val="white"/>
        </w:rPr>
      </w:pPr>
      <w:r w:rsidDel="00000000" w:rsidR="00000000" w:rsidRPr="00000000">
        <w:rPr>
          <w:rFonts w:ascii="Times New Roman" w:cs="Times New Roman" w:eastAsia="Times New Roman" w:hAnsi="Times New Roman"/>
          <w:color w:val="1d1d1d"/>
          <w:sz w:val="24"/>
          <w:szCs w:val="24"/>
          <w:highlight w:val="white"/>
          <w:rtl w:val="0"/>
        </w:rPr>
        <w:t xml:space="preserve">Reference</w:t>
      </w:r>
    </w:p>
    <w:p w:rsidR="00000000" w:rsidDel="00000000" w:rsidP="00000000" w:rsidRDefault="00000000" w:rsidRPr="00000000" w14:paraId="00000006">
      <w:pPr>
        <w:spacing w:line="4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1d1d1d"/>
          <w:sz w:val="24"/>
          <w:szCs w:val="24"/>
          <w:highlight w:val="white"/>
          <w:rtl w:val="0"/>
        </w:rPr>
        <w:t xml:space="preserve">Mallor, Jane, A. Barnes, L. Bowers, Arlen Langvardt. </w:t>
      </w:r>
      <w:r w:rsidDel="00000000" w:rsidR="00000000" w:rsidRPr="00000000">
        <w:rPr>
          <w:rFonts w:ascii="Times New Roman" w:cs="Times New Roman" w:eastAsia="Times New Roman" w:hAnsi="Times New Roman"/>
          <w:i w:val="1"/>
          <w:color w:val="1d1d1d"/>
          <w:sz w:val="24"/>
          <w:szCs w:val="24"/>
          <w:highlight w:val="white"/>
          <w:rtl w:val="0"/>
        </w:rPr>
        <w:t xml:space="preserve">Business Law, 16</w:t>
      </w:r>
      <w:r w:rsidDel="00000000" w:rsidR="00000000" w:rsidRPr="00000000">
        <w:rPr>
          <w:rFonts w:ascii="Times New Roman" w:cs="Times New Roman" w:eastAsia="Times New Roman" w:hAnsi="Times New Roman"/>
          <w:i w:val="1"/>
          <w:color w:val="1d1d1d"/>
          <w:sz w:val="24"/>
          <w:szCs w:val="24"/>
          <w:highlight w:val="white"/>
          <w:vertAlign w:val="superscript"/>
          <w:rtl w:val="0"/>
        </w:rPr>
        <w:t xml:space="preserve">th</w:t>
      </w:r>
      <w:r w:rsidDel="00000000" w:rsidR="00000000" w:rsidRPr="00000000">
        <w:rPr>
          <w:rFonts w:ascii="Times New Roman" w:cs="Times New Roman" w:eastAsia="Times New Roman" w:hAnsi="Times New Roman"/>
          <w:i w:val="1"/>
          <w:color w:val="1d1d1d"/>
          <w:sz w:val="24"/>
          <w:szCs w:val="24"/>
          <w:highlight w:val="white"/>
          <w:rtl w:val="0"/>
        </w:rPr>
        <w:t xml:space="preserve"> Edition</w:t>
      </w:r>
      <w:r w:rsidDel="00000000" w:rsidR="00000000" w:rsidRPr="00000000">
        <w:rPr>
          <w:rFonts w:ascii="Times New Roman" w:cs="Times New Roman" w:eastAsia="Times New Roman" w:hAnsi="Times New Roman"/>
          <w:color w:val="1d1d1d"/>
          <w:sz w:val="24"/>
          <w:szCs w:val="24"/>
          <w:highlight w:val="white"/>
          <w:rtl w:val="0"/>
        </w:rPr>
        <w:t xml:space="preserve">. McGraw-Hill Learning Solutions. 2015.</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A120B5"/>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2019-07-13T01:52:00Z</dcterms:created>
  <dc:creator>Tech</dc:creator>
</cp:coreProperties>
</file>